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318" w:type="dxa"/>
        <w:jc w:val="left"/>
        <w:tblInd w:w="0" w:type="dxa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0318"/>
      </w:tblGrid>
      <w:tr>
        <w:trPr/>
        <w:tc>
          <w:tcPr>
            <w:tcW w:w="10318" w:type="dxa"/>
            <w:tcBorders/>
            <w:shd w:fill="1A1A2E" w:val="clear"/>
          </w:tcPr>
          <w:p>
            <w:pPr>
              <w:pStyle w:val="Normal"/>
              <w:spacing w:before="0" w:after="40"/>
              <w:jc w:val="left"/>
              <w:rPr/>
            </w:pPr>
            <w:r>
              <w:rPr>
                <w:rFonts w:eastAsia="Calibri" w:cs="Calibri"/>
                <w:b/>
                <w:bCs/>
                <w:color w:val="C0392B"/>
                <w:sz w:val="13"/>
                <w:szCs w:val="13"/>
              </w:rPr>
              <w:t>THE LOBBY PYRAMID</w:t>
            </w:r>
          </w:p>
          <w:p>
            <w:pPr>
              <w:pStyle w:val="Normal"/>
              <w:spacing w:before="0" w:after="30"/>
              <w:rPr/>
            </w:pPr>
            <w:r>
              <w:rPr>
                <w:rFonts w:eastAsia="Georgia" w:cs="Georgia" w:ascii="Georgia" w:hAnsi="Georgia"/>
                <w:b/>
                <w:bCs/>
                <w:color w:val="FFFFFF"/>
                <w:sz w:val="28"/>
                <w:szCs w:val="28"/>
              </w:rPr>
              <w:t>A model for effective patient advocacy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Calibri" w:cs="Calibri"/>
                <w:i/>
                <w:iCs/>
                <w:color w:val="AAAAAA"/>
                <w:sz w:val="18"/>
                <w:szCs w:val="18"/>
              </w:rPr>
              <w:t>at national and European level</w:t>
            </w:r>
          </w:p>
        </w:tc>
      </w:tr>
    </w:tbl>
    <w:p>
      <w:pPr>
        <w:pStyle w:val="Normal"/>
        <w:pBdr>
          <w:bottom w:val="single" w:sz="2" w:space="3" w:color="DDDDDD"/>
        </w:pBdr>
        <w:spacing w:before="120" w:after="100"/>
        <w:rPr/>
      </w:pPr>
      <w:r>
        <w:rPr>
          <w:rFonts w:eastAsia="Calibri" w:cs="Calibri"/>
          <w:b/>
          <w:bCs/>
          <w:color w:val="C0392B"/>
          <w:sz w:val="19"/>
          <w:szCs w:val="19"/>
        </w:rPr>
        <w:t xml:space="preserve">Patients are heard — but not heeded. </w:t>
      </w:r>
      <w:r>
        <w:rPr>
          <w:rFonts w:eastAsia="Calibri" w:cs="Calibri"/>
          <w:color w:val="4A5568"/>
          <w:sz w:val="19"/>
          <w:szCs w:val="19"/>
        </w:rPr>
        <w:t>Effective advocacy requires strategy, timing, and leverage — not just evidence.</w:t>
      </w:r>
    </w:p>
    <w:tbl>
      <w:tblPr>
        <w:tblW w:w="10318" w:type="dxa"/>
        <w:jc w:val="left"/>
        <w:tblInd w:w="0" w:type="dxa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5778"/>
        <w:gridCol w:w="4539"/>
      </w:tblGrid>
      <w:tr>
        <w:trPr/>
        <w:tc>
          <w:tcPr>
            <w:tcW w:w="5778" w:type="dxa"/>
            <w:tcBorders>
              <w:right w:val="single" w:sz="2" w:space="0" w:color="DDDDDD"/>
            </w:tcBorders>
            <w:shd w:fill="FFFFFF" w:val="clear"/>
          </w:tcPr>
          <w:p>
            <w:pPr>
              <w:pStyle w:val="Normal"/>
              <w:spacing w:before="60" w:after="60"/>
              <w:rPr/>
            </w:pPr>
            <w:r>
              <w:rPr>
                <w:rFonts w:eastAsia="Calibri" w:cs="Calibri"/>
                <w:b/>
                <w:bCs/>
                <w:color w:val="C0392B"/>
                <w:sz w:val="18"/>
                <w:szCs w:val="18"/>
              </w:rPr>
              <w:t>THE LOBBY PYRAMID</w:t>
            </w:r>
          </w:p>
          <w:tbl>
            <w:tblPr>
              <w:tblW w:w="5578" w:type="dxa"/>
              <w:jc w:val="left"/>
              <w:tblInd w:w="0" w:type="dxa"/>
              <w:tblCellMar>
                <w:top w:w="60" w:type="dxa"/>
                <w:left w:w="100" w:type="dxa"/>
                <w:bottom w:w="60" w:type="dxa"/>
                <w:right w:w="100" w:type="dxa"/>
              </w:tblCellMar>
            </w:tblPr>
            <w:tblGrid>
              <w:gridCol w:w="5578"/>
            </w:tblGrid>
            <w:tr>
              <w:trPr/>
              <w:tc>
                <w:tcPr>
                  <w:tcW w:w="5578" w:type="dxa"/>
                  <w:tcBorders/>
                  <w:shd w:fill="C0392B" w:val="clear"/>
                </w:tcPr>
                <w:p>
                  <w:pPr>
                    <w:pStyle w:val="Normal"/>
                    <w:spacing w:before="40" w:after="40"/>
                    <w:rPr/>
                  </w:pPr>
                  <w:r>
                    <w:rPr>
                      <w:rFonts w:eastAsia="Calibri" w:cs="Calibri"/>
                      <w:b/>
                      <w:bCs/>
                      <w:color w:val="FFFFFF"/>
                      <w:sz w:val="19"/>
                      <w:szCs w:val="19"/>
                    </w:rPr>
                    <w:t>6  Formal escalation</w:t>
                  </w:r>
                  <w:r>
                    <w:rPr>
                      <w:rFonts w:eastAsia="Calibri" w:cs="Calibri"/>
                      <w:i/>
                      <w:iCs/>
                      <w:color w:val="FFFFFF"/>
                      <w:sz w:val="17"/>
                      <w:szCs w:val="17"/>
                    </w:rPr>
                    <w:t xml:space="preserve">  —  Legal · EP petition</w:t>
                  </w:r>
                </w:p>
              </w:tc>
            </w:tr>
            <w:tr>
              <w:trPr/>
              <w:tc>
                <w:tcPr>
                  <w:tcW w:w="5578" w:type="dxa"/>
                  <w:tcBorders/>
                  <w:shd w:fill="C05A10" w:val="clear"/>
                </w:tcPr>
                <w:p>
                  <w:pPr>
                    <w:pStyle w:val="Normal"/>
                    <w:spacing w:before="40" w:after="40"/>
                    <w:rPr/>
                  </w:pPr>
                  <w:r>
                    <w:rPr>
                      <w:rFonts w:eastAsia="Calibri" w:cs="Calibri"/>
                      <w:b/>
                      <w:bCs/>
                      <w:color w:val="FFFFFF"/>
                      <w:sz w:val="19"/>
                      <w:szCs w:val="19"/>
                    </w:rPr>
                    <w:t>5  Going public &amp; campaigns</w:t>
                  </w:r>
                  <w:r>
                    <w:rPr>
                      <w:rFonts w:eastAsia="Calibri" w:cs="Calibri"/>
                      <w:i/>
                      <w:iCs/>
                      <w:color w:val="FFFFFF"/>
                      <w:sz w:val="17"/>
                      <w:szCs w:val="17"/>
                    </w:rPr>
                    <w:t xml:space="preserve">  —  Media · Petitions · Parliament</w:t>
                  </w:r>
                </w:p>
              </w:tc>
            </w:tr>
            <w:tr>
              <w:trPr/>
              <w:tc>
                <w:tcPr>
                  <w:tcW w:w="5578" w:type="dxa"/>
                  <w:tcBorders/>
                  <w:shd w:fill="7A3A9F" w:val="clear"/>
                </w:tcPr>
                <w:p>
                  <w:pPr>
                    <w:pStyle w:val="Normal"/>
                    <w:spacing w:before="40" w:after="40"/>
                    <w:rPr/>
                  </w:pPr>
                  <w:r>
                    <w:rPr>
                      <w:rFonts w:eastAsia="Calibri" w:cs="Calibri"/>
                      <w:b/>
                      <w:bCs/>
                      <w:color w:val="FFFFFF"/>
                      <w:sz w:val="19"/>
                      <w:szCs w:val="19"/>
                    </w:rPr>
                    <w:t>4  Building coalitions</w:t>
                  </w:r>
                  <w:r>
                    <w:rPr>
                      <w:rFonts w:eastAsia="Calibri" w:cs="Calibri"/>
                      <w:i/>
                      <w:iCs/>
                      <w:color w:val="FFFFFF"/>
                      <w:sz w:val="17"/>
                      <w:szCs w:val="17"/>
                    </w:rPr>
                    <w:t xml:space="preserve">  —  Patient orgs · Societies · Academia</w:t>
                  </w:r>
                </w:p>
              </w:tc>
            </w:tr>
            <w:tr>
              <w:trPr/>
              <w:tc>
                <w:tcPr>
                  <w:tcW w:w="5578" w:type="dxa"/>
                  <w:tcBorders/>
                  <w:shd w:fill="2E5FA3" w:val="clear"/>
                </w:tcPr>
                <w:p>
                  <w:pPr>
                    <w:pStyle w:val="Normal"/>
                    <w:spacing w:before="40" w:after="40"/>
                    <w:rPr/>
                  </w:pPr>
                  <w:r>
                    <w:rPr>
                      <w:rFonts w:eastAsia="Calibri" w:cs="Calibri"/>
                      <w:b/>
                      <w:bCs/>
                      <w:color w:val="FFFFFF"/>
                      <w:sz w:val="19"/>
                      <w:szCs w:val="19"/>
                    </w:rPr>
                    <w:t>3  Collaborating</w:t>
                  </w:r>
                  <w:r>
                    <w:rPr>
                      <w:rFonts w:eastAsia="Calibri" w:cs="Calibri"/>
                      <w:i/>
                      <w:iCs/>
                      <w:color w:val="FFFFFF"/>
                      <w:sz w:val="17"/>
                      <w:szCs w:val="17"/>
                    </w:rPr>
                    <w:t xml:space="preserve">  —  HTA · Regulators · EMA </w:t>
                  </w:r>
                </w:p>
              </w:tc>
            </w:tr>
            <w:tr>
              <w:trPr/>
              <w:tc>
                <w:tcPr>
                  <w:tcW w:w="5578" w:type="dxa"/>
                  <w:tcBorders/>
                  <w:shd w:fill="2D8A5E" w:val="clear"/>
                </w:tcPr>
                <w:p>
                  <w:pPr>
                    <w:pStyle w:val="Normal"/>
                    <w:spacing w:before="40" w:after="40"/>
                    <w:rPr/>
                  </w:pPr>
                  <w:r>
                    <w:rPr>
                      <w:rFonts w:eastAsia="Calibri" w:cs="Calibri"/>
                      <w:b/>
                      <w:bCs/>
                      <w:color w:val="FFFFFF"/>
                      <w:sz w:val="19"/>
                      <w:szCs w:val="19"/>
                    </w:rPr>
                    <w:t>2  Persuading</w:t>
                  </w:r>
                  <w:r>
                    <w:rPr>
                      <w:rFonts w:eastAsia="Calibri" w:cs="Calibri"/>
                      <w:i/>
                      <w:iCs/>
                      <w:color w:val="FFFFFF"/>
                      <w:sz w:val="17"/>
                      <w:szCs w:val="17"/>
                    </w:rPr>
                    <w:t xml:space="preserve">  —  Framing · HTA input · Opinion pieces</w:t>
                  </w:r>
                </w:p>
              </w:tc>
            </w:tr>
            <w:tr>
              <w:trPr/>
              <w:tc>
                <w:tcPr>
                  <w:tcW w:w="5578" w:type="dxa"/>
                  <w:tcBorders/>
                  <w:shd w:fill="B5862C" w:val="clear"/>
                </w:tcPr>
                <w:p>
                  <w:pPr>
                    <w:pStyle w:val="Normal"/>
                    <w:spacing w:before="40" w:after="40"/>
                    <w:rPr/>
                  </w:pPr>
                  <w:r>
                    <w:rPr>
                      <w:rFonts w:eastAsia="Calibri" w:cs="Calibri"/>
                      <w:b/>
                      <w:bCs/>
                      <w:color w:val="FFFFFF"/>
                      <w:sz w:val="19"/>
                      <w:szCs w:val="19"/>
                    </w:rPr>
                    <w:t>1  Informing</w:t>
                  </w:r>
                  <w:r>
                    <w:rPr>
                      <w:rFonts w:eastAsia="Calibri" w:cs="Calibri"/>
                      <w:i/>
                      <w:iCs/>
                      <w:color w:val="FFFFFF"/>
                      <w:sz w:val="17"/>
                      <w:szCs w:val="17"/>
                    </w:rPr>
                    <w:t xml:space="preserve">  —  Evidence · Data · Consultations — always on</w:t>
                  </w:r>
                </w:p>
              </w:tc>
            </w:tr>
          </w:tbl>
          <w:p>
            <w:pPr>
              <w:pStyle w:val="Normal"/>
              <w:spacing w:before="50" w:after="0"/>
              <w:rPr/>
            </w:pPr>
            <w:r>
              <w:rPr>
                <w:rFonts w:eastAsia="Calibri" w:cs="Calibri"/>
                <w:i/>
                <w:iCs/>
                <w:color w:val="4A5568"/>
                <w:sz w:val="16"/>
                <w:szCs w:val="16"/>
              </w:rPr>
              <w:t>Not a queue — multiple levels run simultaneously.</w:t>
            </w:r>
          </w:p>
        </w:tc>
        <w:tc>
          <w:tcPr>
            <w:tcW w:w="4539" w:type="dxa"/>
            <w:tcBorders/>
            <w:shd w:fill="FFFFFF" w:val="clear"/>
          </w:tcPr>
          <w:p>
            <w:pPr>
              <w:pStyle w:val="Normal"/>
              <w:spacing w:before="60" w:after="50"/>
              <w:rPr/>
            </w:pPr>
            <w:r>
              <w:rPr>
                <w:rFonts w:eastAsia="Calibri" w:cs="Calibri"/>
                <w:b/>
                <w:bCs/>
                <w:color w:val="C0392B"/>
                <w:sz w:val="18"/>
                <w:szCs w:val="18"/>
              </w:rPr>
              <w:t>THEORY OF CHANGE</w:t>
            </w:r>
          </w:p>
          <w:tbl>
            <w:tblPr>
              <w:tblW w:w="4340" w:type="dxa"/>
              <w:jc w:val="left"/>
              <w:tblInd w:w="0" w:type="dxa"/>
              <w:tblCellMar>
                <w:top w:w="60" w:type="dxa"/>
                <w:left w:w="100" w:type="dxa"/>
                <w:bottom w:w="60" w:type="dxa"/>
                <w:right w:w="100" w:type="dxa"/>
              </w:tblCellMar>
            </w:tblPr>
            <w:tblGrid>
              <w:gridCol w:w="4340"/>
            </w:tblGrid>
            <w:tr>
              <w:trPr/>
              <w:tc>
                <w:tcPr>
                  <w:tcW w:w="4340" w:type="dxa"/>
                  <w:tcBorders>
                    <w:top w:val="single" w:sz="2" w:space="0" w:color="DDDDDD"/>
                    <w:left w:val="single" w:sz="2" w:space="0" w:color="DDDDDD"/>
                    <w:bottom w:val="single" w:sz="2" w:space="0" w:color="DDDDDD"/>
                    <w:right w:val="single" w:sz="2" w:space="0" w:color="DDDDDD"/>
                  </w:tcBorders>
                  <w:shd w:fill="F2F2F2" w:val="clear"/>
                </w:tcPr>
                <w:p>
                  <w:pPr>
                    <w:pStyle w:val="Normal"/>
                    <w:spacing w:before="30" w:after="30"/>
                    <w:rPr/>
                  </w:pPr>
                  <w:r>
                    <w:rPr>
                      <w:rFonts w:eastAsia="Calibri" w:cs="Calibri"/>
                      <w:b/>
                      <w:bCs/>
                      <w:color w:val="B5862C"/>
                      <w:sz w:val="16"/>
                      <w:szCs w:val="16"/>
                    </w:rPr>
                    <w:t xml:space="preserve">INPUT  </w:t>
                  </w:r>
                  <w:r>
                    <w:rPr>
                      <w:rFonts w:eastAsia="Calibri" w:cs="Calibri"/>
                      <w:color w:val="4A5568"/>
                      <w:sz w:val="16"/>
                      <w:szCs w:val="16"/>
                    </w:rPr>
                    <w:t>Patient evidence &amp; expertise</w:t>
                  </w:r>
                </w:p>
              </w:tc>
            </w:tr>
            <w:tr>
              <w:trPr/>
              <w:tc>
                <w:tcPr>
                  <w:tcW w:w="4340" w:type="dxa"/>
                  <w:tcBorders>
                    <w:top w:val="single" w:sz="2" w:space="0" w:color="DDDDDD"/>
                    <w:left w:val="single" w:sz="2" w:space="0" w:color="DDDDDD"/>
                    <w:bottom w:val="single" w:sz="2" w:space="0" w:color="DDDDDD"/>
                    <w:right w:val="single" w:sz="2" w:space="0" w:color="DDDDDD"/>
                  </w:tcBorders>
                  <w:shd w:fill="F2F2F2" w:val="clear"/>
                </w:tcPr>
                <w:p>
                  <w:pPr>
                    <w:pStyle w:val="Normal"/>
                    <w:spacing w:before="30" w:after="30"/>
                    <w:rPr/>
                  </w:pPr>
                  <w:r>
                    <w:rPr>
                      <w:rFonts w:eastAsia="Calibri" w:cs="Calibri"/>
                      <w:b/>
                      <w:bCs/>
                      <w:color w:val="2D8A5E"/>
                      <w:sz w:val="16"/>
                      <w:szCs w:val="16"/>
                    </w:rPr>
                    <w:t xml:space="preserve">ACTIVITY  </w:t>
                  </w:r>
                  <w:r>
                    <w:rPr>
                      <w:rFonts w:eastAsia="Calibri" w:cs="Calibri"/>
                      <w:color w:val="4A5568"/>
                      <w:sz w:val="16"/>
                      <w:szCs w:val="16"/>
                    </w:rPr>
                    <w:t>Right level at the right moment</w:t>
                  </w:r>
                </w:p>
              </w:tc>
            </w:tr>
            <w:tr>
              <w:trPr/>
              <w:tc>
                <w:tcPr>
                  <w:tcW w:w="4340" w:type="dxa"/>
                  <w:tcBorders>
                    <w:top w:val="single" w:sz="2" w:space="0" w:color="DDDDDD"/>
                    <w:left w:val="single" w:sz="2" w:space="0" w:color="DDDDDD"/>
                    <w:bottom w:val="single" w:sz="2" w:space="0" w:color="DDDDDD"/>
                    <w:right w:val="single" w:sz="2" w:space="0" w:color="DDDDDD"/>
                  </w:tcBorders>
                  <w:shd w:fill="F2F2F2" w:val="clear"/>
                </w:tcPr>
                <w:p>
                  <w:pPr>
                    <w:pStyle w:val="Normal"/>
                    <w:spacing w:before="30" w:after="30"/>
                    <w:rPr/>
                  </w:pPr>
                  <w:r>
                    <w:rPr>
                      <w:rFonts w:eastAsia="Calibri" w:cs="Calibri"/>
                      <w:b/>
                      <w:bCs/>
                      <w:color w:val="2E5FA3"/>
                      <w:sz w:val="16"/>
                      <w:szCs w:val="16"/>
                    </w:rPr>
                    <w:t xml:space="preserve">OUTPUT  </w:t>
                  </w:r>
                  <w:r>
                    <w:rPr>
                      <w:rFonts w:eastAsia="Calibri" w:cs="Calibri"/>
                      <w:color w:val="4A5568"/>
                      <w:sz w:val="16"/>
                      <w:szCs w:val="16"/>
                    </w:rPr>
                    <w:t>Shifted framing &amp; access</w:t>
                  </w:r>
                </w:p>
              </w:tc>
            </w:tr>
            <w:tr>
              <w:trPr/>
              <w:tc>
                <w:tcPr>
                  <w:tcW w:w="4340" w:type="dxa"/>
                  <w:tcBorders>
                    <w:top w:val="single" w:sz="2" w:space="0" w:color="DDDDDD"/>
                    <w:left w:val="single" w:sz="2" w:space="0" w:color="DDDDDD"/>
                    <w:bottom w:val="single" w:sz="2" w:space="0" w:color="DDDDDD"/>
                    <w:right w:val="single" w:sz="2" w:space="0" w:color="DDDDDD"/>
                  </w:tcBorders>
                  <w:shd w:fill="F2F2F2" w:val="clear"/>
                </w:tcPr>
                <w:p>
                  <w:pPr>
                    <w:pStyle w:val="Normal"/>
                    <w:spacing w:before="30" w:after="30"/>
                    <w:rPr/>
                  </w:pPr>
                  <w:r>
                    <w:rPr>
                      <w:rFonts w:eastAsia="Calibri" w:cs="Calibri"/>
                      <w:b/>
                      <w:bCs/>
                      <w:color w:val="7A3A9F"/>
                      <w:sz w:val="16"/>
                      <w:szCs w:val="16"/>
                    </w:rPr>
                    <w:t xml:space="preserve">RESULT  </w:t>
                  </w:r>
                  <w:r>
                    <w:rPr>
                      <w:rFonts w:eastAsia="Calibri" w:cs="Calibri"/>
                      <w:color w:val="4A5568"/>
                      <w:sz w:val="16"/>
                      <w:szCs w:val="16"/>
                    </w:rPr>
                    <w:t>Decision changes</w:t>
                  </w:r>
                </w:p>
              </w:tc>
            </w:tr>
            <w:tr>
              <w:trPr/>
              <w:tc>
                <w:tcPr>
                  <w:tcW w:w="4340" w:type="dxa"/>
                  <w:tcBorders>
                    <w:top w:val="single" w:sz="2" w:space="0" w:color="DDDDDD"/>
                    <w:left w:val="single" w:sz="2" w:space="0" w:color="DDDDDD"/>
                    <w:bottom w:val="single" w:sz="2" w:space="0" w:color="DDDDDD"/>
                    <w:right w:val="single" w:sz="2" w:space="0" w:color="DDDDDD"/>
                  </w:tcBorders>
                  <w:shd w:fill="F2F2F2" w:val="clear"/>
                </w:tcPr>
                <w:p>
                  <w:pPr>
                    <w:pStyle w:val="Normal"/>
                    <w:spacing w:before="30" w:after="30"/>
                    <w:rPr/>
                  </w:pPr>
                  <w:r>
                    <w:rPr>
                      <w:rFonts w:eastAsia="Calibri" w:cs="Calibri"/>
                      <w:b/>
                      <w:bCs/>
                      <w:color w:val="C0392B"/>
                      <w:sz w:val="16"/>
                      <w:szCs w:val="16"/>
                    </w:rPr>
                    <w:t xml:space="preserve">IMPACT  </w:t>
                  </w:r>
                  <w:r>
                    <w:rPr>
                      <w:rFonts w:eastAsia="Calibri" w:cs="Calibri"/>
                      <w:color w:val="4A5568"/>
                      <w:sz w:val="16"/>
                      <w:szCs w:val="16"/>
                    </w:rPr>
                    <w:t>Better access for patients</w:t>
                  </w:r>
                </w:p>
              </w:tc>
            </w:tr>
          </w:tbl>
          <w:p>
            <w:pPr>
              <w:pStyle w:val="Normal"/>
              <w:shd w:val="clear" w:fill="F5E6E4"/>
              <w:spacing w:before="80" w:after="80"/>
              <w:rPr/>
            </w:pPr>
            <w:r>
              <w:rPr>
                <w:rFonts w:eastAsia="Calibri" w:cs="Calibri"/>
                <w:b/>
                <w:bCs/>
                <w:color w:val="C0392B"/>
                <w:sz w:val="16"/>
                <w:szCs w:val="16"/>
              </w:rPr>
              <w:t xml:space="preserve">Critical assumption: </w:t>
            </w:r>
            <w:r>
              <w:rPr>
                <w:rFonts w:eastAsia="Calibri" w:cs="Calibri"/>
                <w:color w:val="4A5568"/>
                <w:sz w:val="15"/>
                <w:szCs w:val="15"/>
              </w:rPr>
              <w:t>Decision-makers are reachable · Evidence is accepted · Window exists · Independence is credible</w:t>
            </w:r>
          </w:p>
          <w:p>
            <w:pPr>
              <w:pStyle w:val="Normal"/>
              <w:spacing w:before="80" w:after="50"/>
              <w:rPr/>
            </w:pPr>
            <w:r>
              <w:rPr>
                <w:rFonts w:eastAsia="Calibri" w:cs="Calibri"/>
                <w:b/>
                <w:bCs/>
                <w:color w:val="C0392B"/>
                <w:sz w:val="18"/>
                <w:szCs w:val="18"/>
              </w:rPr>
              <w:t>NARRATIVE FRAMING</w:t>
            </w:r>
          </w:p>
          <w:tbl>
            <w:tblPr>
              <w:tblW w:w="4340" w:type="dxa"/>
              <w:jc w:val="left"/>
              <w:tblInd w:w="0" w:type="dxa"/>
              <w:tblCellMar>
                <w:top w:w="60" w:type="dxa"/>
                <w:left w:w="100" w:type="dxa"/>
                <w:bottom w:w="60" w:type="dxa"/>
                <w:right w:w="100" w:type="dxa"/>
              </w:tblCellMar>
            </w:tblPr>
            <w:tblGrid>
              <w:gridCol w:w="1599"/>
              <w:gridCol w:w="2740"/>
            </w:tblGrid>
            <w:tr>
              <w:trPr/>
              <w:tc>
                <w:tcPr>
                  <w:tcW w:w="1599" w:type="dxa"/>
                  <w:tcBorders>
                    <w:top w:val="single" w:sz="2" w:space="0" w:color="DDDDDD"/>
                    <w:left w:val="single" w:sz="2" w:space="0" w:color="DDDDDD"/>
                    <w:bottom w:val="single" w:sz="2" w:space="0" w:color="DDDDDD"/>
                    <w:right w:val="single" w:sz="2" w:space="0" w:color="DDDDDD"/>
                  </w:tcBorders>
                  <w:shd w:fill="F2F2F2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Calibri" w:cs="Calibri"/>
                      <w:b/>
                      <w:bCs/>
                      <w:color w:val="C0392B"/>
                      <w:sz w:val="15"/>
                      <w:szCs w:val="15"/>
                    </w:rPr>
                    <w:t>HTA / payer</w:t>
                  </w:r>
                </w:p>
              </w:tc>
              <w:tc>
                <w:tcPr>
                  <w:tcW w:w="2740" w:type="dxa"/>
                  <w:tcBorders>
                    <w:top w:val="single" w:sz="2" w:space="0" w:color="DDDDDD"/>
                    <w:left w:val="single" w:sz="2" w:space="0" w:color="DDDDDD"/>
                    <w:bottom w:val="single" w:sz="2" w:space="0" w:color="DDDDDD"/>
                    <w:right w:val="single" w:sz="2" w:space="0" w:color="DDDDDD"/>
                  </w:tcBorders>
                  <w:shd w:fill="F2F2F2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Calibri" w:cs="Calibri"/>
                      <w:color w:val="4A5568"/>
                      <w:sz w:val="15"/>
                      <w:szCs w:val="15"/>
                    </w:rPr>
                    <w:t>QALYs · Cost of missed diagnosis · Unmet need</w:t>
                  </w:r>
                </w:p>
              </w:tc>
            </w:tr>
            <w:tr>
              <w:trPr/>
              <w:tc>
                <w:tcPr>
                  <w:tcW w:w="1599" w:type="dxa"/>
                  <w:tcBorders>
                    <w:top w:val="single" w:sz="2" w:space="0" w:color="DDDDDD"/>
                    <w:left w:val="single" w:sz="2" w:space="0" w:color="DDDDDD"/>
                    <w:bottom w:val="single" w:sz="2" w:space="0" w:color="DDDDDD"/>
                    <w:right w:val="single" w:sz="2" w:space="0" w:color="DDDDDD"/>
                  </w:tcBorders>
                  <w:shd w:fill="FFFFFF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Calibri" w:cs="Calibri"/>
                      <w:b/>
                      <w:bCs/>
                      <w:color w:val="C0392B"/>
                      <w:sz w:val="15"/>
                      <w:szCs w:val="15"/>
                    </w:rPr>
                    <w:t>Clinicians</w:t>
                  </w:r>
                </w:p>
              </w:tc>
              <w:tc>
                <w:tcPr>
                  <w:tcW w:w="2740" w:type="dxa"/>
                  <w:tcBorders>
                    <w:top w:val="single" w:sz="2" w:space="0" w:color="DDDDDD"/>
                    <w:left w:val="single" w:sz="2" w:space="0" w:color="DDDDDD"/>
                    <w:bottom w:val="single" w:sz="2" w:space="0" w:color="DDDDDD"/>
                    <w:right w:val="single" w:sz="2" w:space="0" w:color="DDDDDD"/>
                  </w:tcBorders>
                  <w:shd w:fill="FFFFFF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Calibri" w:cs="Calibri"/>
                      <w:color w:val="4A5568"/>
                      <w:sz w:val="15"/>
                      <w:szCs w:val="15"/>
                    </w:rPr>
                    <w:t>PRO data · Guideline gap · Diagnostic criteria</w:t>
                  </w:r>
                </w:p>
              </w:tc>
            </w:tr>
            <w:tr>
              <w:trPr/>
              <w:tc>
                <w:tcPr>
                  <w:tcW w:w="1599" w:type="dxa"/>
                  <w:tcBorders>
                    <w:top w:val="single" w:sz="2" w:space="0" w:color="DDDDDD"/>
                    <w:left w:val="single" w:sz="2" w:space="0" w:color="DDDDDD"/>
                    <w:bottom w:val="single" w:sz="2" w:space="0" w:color="DDDDDD"/>
                    <w:right w:val="single" w:sz="2" w:space="0" w:color="DDDDDD"/>
                  </w:tcBorders>
                  <w:shd w:fill="F2F2F2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Calibri" w:cs="Calibri"/>
                      <w:b/>
                      <w:bCs/>
                      <w:color w:val="C0392B"/>
                      <w:sz w:val="15"/>
                      <w:szCs w:val="15"/>
                    </w:rPr>
                    <w:t>Parliament/media</w:t>
                  </w:r>
                </w:p>
              </w:tc>
              <w:tc>
                <w:tcPr>
                  <w:tcW w:w="2740" w:type="dxa"/>
                  <w:tcBorders>
                    <w:top w:val="single" w:sz="2" w:space="0" w:color="DDDDDD"/>
                    <w:left w:val="single" w:sz="2" w:space="0" w:color="DDDDDD"/>
                    <w:bottom w:val="single" w:sz="2" w:space="0" w:color="DDDDDD"/>
                    <w:right w:val="single" w:sz="2" w:space="0" w:color="DDDDDD"/>
                  </w:tcBorders>
                  <w:shd w:fill="F2F2F2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Calibri" w:cs="Calibri"/>
                      <w:color w:val="4A5568"/>
                      <w:sz w:val="15"/>
                      <w:szCs w:val="15"/>
                    </w:rPr>
                    <w:t>Gender health gap · Patient story as system failure</w:t>
                  </w:r>
                </w:p>
              </w:tc>
            </w:tr>
            <w:tr>
              <w:trPr/>
              <w:tc>
                <w:tcPr>
                  <w:tcW w:w="1599" w:type="dxa"/>
                  <w:tcBorders>
                    <w:top w:val="single" w:sz="2" w:space="0" w:color="DDDDDD"/>
                    <w:left w:val="single" w:sz="2" w:space="0" w:color="DDDDDD"/>
                    <w:bottom w:val="single" w:sz="2" w:space="0" w:color="DDDDDD"/>
                    <w:right w:val="single" w:sz="2" w:space="0" w:color="DDDDDD"/>
                  </w:tcBorders>
                  <w:shd w:fill="FFFFFF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Calibri" w:cs="Calibri"/>
                      <w:b/>
                      <w:bCs/>
                      <w:color w:val="C0392B"/>
                      <w:sz w:val="15"/>
                      <w:szCs w:val="15"/>
                    </w:rPr>
                    <w:t>EU institutions</w:t>
                  </w:r>
                </w:p>
              </w:tc>
              <w:tc>
                <w:tcPr>
                  <w:tcW w:w="2740" w:type="dxa"/>
                  <w:tcBorders>
                    <w:top w:val="single" w:sz="2" w:space="0" w:color="DDDDDD"/>
                    <w:left w:val="single" w:sz="2" w:space="0" w:color="DDDDDD"/>
                    <w:bottom w:val="single" w:sz="2" w:space="0" w:color="DDDDDD"/>
                    <w:right w:val="single" w:sz="2" w:space="0" w:color="DDDDDD"/>
                  </w:tcBorders>
                  <w:shd w:fill="FFFFFF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Calibri" w:cs="Calibri"/>
                      <w:color w:val="4A5568"/>
                      <w:sz w:val="15"/>
                      <w:szCs w:val="15"/>
                    </w:rPr>
                    <w:t>EU compliance · Health Union · Cross-border rights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pBdr>
          <w:top w:val="single" w:sz="2" w:space="3" w:color="DDDDDD"/>
        </w:pBdr>
        <w:spacing w:before="100" w:after="60"/>
        <w:rPr/>
      </w:pPr>
      <w:r>
        <w:rPr>
          <w:rFonts w:eastAsia="Calibri" w:cs="Calibri"/>
          <w:b/>
          <w:bCs/>
          <w:color w:val="C0392B"/>
          <w:sz w:val="17"/>
          <w:szCs w:val="17"/>
        </w:rPr>
        <w:t xml:space="preserve">POWER MAP  —  </w:t>
      </w:r>
      <w:r>
        <w:rPr>
          <w:rFonts w:eastAsia="Calibri" w:cs="Calibri"/>
          <w:color w:val="4A5568"/>
          <w:sz w:val="17"/>
          <w:szCs w:val="17"/>
        </w:rPr>
        <w:t>Map stakeholders before choosing your level. Power × Alignment determines strategy.</w:t>
      </w:r>
    </w:p>
    <w:tbl>
      <w:tblPr>
        <w:tblW w:w="10318" w:type="dxa"/>
        <w:jc w:val="left"/>
        <w:tblInd w:w="0" w:type="dxa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5159"/>
        <w:gridCol w:w="5158"/>
      </w:tblGrid>
      <w:tr>
        <w:trPr/>
        <w:tc>
          <w:tcPr>
            <w:tcW w:w="5159" w:type="dxa"/>
            <w:tcBorders>
              <w:top w:val="single" w:sz="2" w:space="0" w:color="C0392B"/>
              <w:left w:val="single" w:sz="2" w:space="0" w:color="C0392B"/>
              <w:bottom w:val="single" w:sz="2" w:space="0" w:color="C0392B"/>
              <w:right w:val="single" w:sz="2" w:space="0" w:color="C0392B"/>
            </w:tcBorders>
            <w:shd w:fill="F5E6E4" w:val="clear"/>
          </w:tcPr>
          <w:p>
            <w:pPr>
              <w:pStyle w:val="Normal"/>
              <w:spacing w:before="0" w:after="30"/>
              <w:rPr/>
            </w:pPr>
            <w:r>
              <w:rPr>
                <w:rFonts w:eastAsia="Calibri" w:cs="Calibri"/>
                <w:b/>
                <w:bCs/>
                <w:color w:val="1A1A2E"/>
                <w:sz w:val="18"/>
                <w:szCs w:val="18"/>
              </w:rPr>
              <w:t>High power · Low alignment</w:t>
            </w:r>
          </w:p>
          <w:p>
            <w:pPr>
              <w:pStyle w:val="Normal"/>
              <w:spacing w:before="0" w:after="30"/>
              <w:rPr/>
            </w:pPr>
            <w:r>
              <w:rPr>
                <w:rFonts w:eastAsia="Calibri" w:cs="Calibri"/>
                <w:b/>
                <w:bCs/>
                <w:i/>
                <w:iCs/>
                <w:color w:val="C0392B"/>
                <w:sz w:val="17"/>
                <w:szCs w:val="17"/>
              </w:rPr>
              <w:t xml:space="preserve">→ </w:t>
            </w:r>
            <w:r>
              <w:rPr>
                <w:rFonts w:eastAsia="Calibri" w:cs="Calibri"/>
                <w:b/>
                <w:bCs/>
                <w:i/>
                <w:iCs/>
                <w:color w:val="C0392B"/>
                <w:sz w:val="17"/>
                <w:szCs w:val="17"/>
              </w:rPr>
              <w:t>Persuade &amp; build relationship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Calibri" w:cs="Calibri"/>
                <w:color w:val="4A5568"/>
                <w:sz w:val="16"/>
                <w:szCs w:val="16"/>
              </w:rPr>
              <w:t>Ministry of Health · HTA body · Regulator · Sceptical MP</w:t>
            </w:r>
          </w:p>
        </w:tc>
        <w:tc>
          <w:tcPr>
            <w:tcW w:w="5158" w:type="dxa"/>
            <w:tcBorders>
              <w:top w:val="single" w:sz="2" w:space="0" w:color="C0392B"/>
              <w:left w:val="single" w:sz="2" w:space="0" w:color="C0392B"/>
              <w:bottom w:val="single" w:sz="2" w:space="0" w:color="C0392B"/>
              <w:right w:val="single" w:sz="2" w:space="0" w:color="C0392B"/>
            </w:tcBorders>
            <w:shd w:fill="F5E6E4" w:val="clear"/>
          </w:tcPr>
          <w:p>
            <w:pPr>
              <w:pStyle w:val="Normal"/>
              <w:spacing w:before="0" w:after="30"/>
              <w:rPr/>
            </w:pPr>
            <w:r>
              <w:rPr>
                <w:rFonts w:eastAsia="Calibri" w:cs="Calibri"/>
                <w:b/>
                <w:bCs/>
                <w:color w:val="1A1A2E"/>
                <w:sz w:val="18"/>
                <w:szCs w:val="18"/>
              </w:rPr>
              <w:t>High power · High alignment</w:t>
            </w:r>
          </w:p>
          <w:p>
            <w:pPr>
              <w:pStyle w:val="Normal"/>
              <w:spacing w:before="0" w:after="30"/>
              <w:rPr/>
            </w:pPr>
            <w:r>
              <w:rPr>
                <w:rFonts w:eastAsia="Calibri" w:cs="Calibri"/>
                <w:b/>
                <w:bCs/>
                <w:i/>
                <w:iCs/>
                <w:color w:val="C0392B"/>
                <w:sz w:val="17"/>
                <w:szCs w:val="17"/>
              </w:rPr>
              <w:t xml:space="preserve">→ </w:t>
            </w:r>
            <w:r>
              <w:rPr>
                <w:rFonts w:eastAsia="Calibri" w:cs="Calibri"/>
                <w:b/>
                <w:bCs/>
                <w:i/>
                <w:iCs/>
                <w:color w:val="C0392B"/>
                <w:sz w:val="17"/>
                <w:szCs w:val="17"/>
              </w:rPr>
              <w:t>Activate &amp; amplify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Calibri" w:cs="Calibri"/>
                <w:color w:val="4A5568"/>
                <w:sz w:val="16"/>
                <w:szCs w:val="16"/>
              </w:rPr>
              <w:t>Allied minister · Sympathetic MP · Patient org umbrella · Research funder</w:t>
            </w:r>
          </w:p>
        </w:tc>
      </w:tr>
      <w:tr>
        <w:trPr/>
        <w:tc>
          <w:tcPr>
            <w:tcW w:w="515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2F2F2" w:val="clear"/>
          </w:tcPr>
          <w:p>
            <w:pPr>
              <w:pStyle w:val="Normal"/>
              <w:spacing w:before="0" w:after="30"/>
              <w:rPr/>
            </w:pPr>
            <w:r>
              <w:rPr>
                <w:rFonts w:eastAsia="Calibri" w:cs="Calibri"/>
                <w:b/>
                <w:bCs/>
                <w:color w:val="1A1A2E"/>
                <w:sz w:val="18"/>
                <w:szCs w:val="18"/>
              </w:rPr>
              <w:t>Low power · Low alignment</w:t>
            </w:r>
          </w:p>
          <w:p>
            <w:pPr>
              <w:pStyle w:val="Normal"/>
              <w:spacing w:before="0" w:after="30"/>
              <w:rPr/>
            </w:pPr>
            <w:r>
              <w:rPr>
                <w:rFonts w:eastAsia="Calibri" w:cs="Calibri"/>
                <w:b/>
                <w:bCs/>
                <w:i/>
                <w:iCs/>
                <w:color w:val="C0392B"/>
                <w:sz w:val="17"/>
                <w:szCs w:val="17"/>
              </w:rPr>
              <w:t xml:space="preserve">→ </w:t>
            </w:r>
            <w:r>
              <w:rPr>
                <w:rFonts w:eastAsia="Calibri" w:cs="Calibri"/>
                <w:b/>
                <w:bCs/>
                <w:i/>
                <w:iCs/>
                <w:color w:val="C0392B"/>
                <w:sz w:val="17"/>
                <w:szCs w:val="17"/>
              </w:rPr>
              <w:t>Monitor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Calibri" w:cs="Calibri"/>
                <w:color w:val="4A5568"/>
                <w:sz w:val="16"/>
                <w:szCs w:val="16"/>
              </w:rPr>
              <w:t>General public · Peripheral industry</w:t>
            </w:r>
          </w:p>
        </w:tc>
        <w:tc>
          <w:tcPr>
            <w:tcW w:w="5158" w:type="dxa"/>
            <w:tcBorders>
              <w:top w:val="single" w:sz="2" w:space="0" w:color="B5862C"/>
              <w:left w:val="single" w:sz="2" w:space="0" w:color="B5862C"/>
              <w:bottom w:val="single" w:sz="2" w:space="0" w:color="B5862C"/>
              <w:right w:val="single" w:sz="2" w:space="0" w:color="B5862C"/>
            </w:tcBorders>
            <w:shd w:fill="FEF9F0" w:val="clear"/>
          </w:tcPr>
          <w:p>
            <w:pPr>
              <w:pStyle w:val="Normal"/>
              <w:spacing w:before="0" w:after="30"/>
              <w:rPr/>
            </w:pPr>
            <w:r>
              <w:rPr>
                <w:rFonts w:eastAsia="Calibri" w:cs="Calibri"/>
                <w:b/>
                <w:bCs/>
                <w:color w:val="1A1A2E"/>
                <w:sz w:val="18"/>
                <w:szCs w:val="18"/>
              </w:rPr>
              <w:t>Low power · High alignment</w:t>
            </w:r>
          </w:p>
          <w:p>
            <w:pPr>
              <w:pStyle w:val="Normal"/>
              <w:spacing w:before="0" w:after="30"/>
              <w:rPr/>
            </w:pPr>
            <w:r>
              <w:rPr>
                <w:rFonts w:eastAsia="Calibri" w:cs="Calibri"/>
                <w:b/>
                <w:bCs/>
                <w:i/>
                <w:iCs/>
                <w:color w:val="C0392B"/>
                <w:sz w:val="17"/>
                <w:szCs w:val="17"/>
              </w:rPr>
              <w:t xml:space="preserve">→ </w:t>
            </w:r>
            <w:r>
              <w:rPr>
                <w:rFonts w:eastAsia="Calibri" w:cs="Calibri"/>
                <w:b/>
                <w:bCs/>
                <w:i/>
                <w:iCs/>
                <w:color w:val="C0392B"/>
                <w:sz w:val="17"/>
                <w:szCs w:val="17"/>
              </w:rPr>
              <w:t>Organise &amp; elevate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Calibri" w:cs="Calibri"/>
                <w:color w:val="4A5568"/>
                <w:sz w:val="16"/>
                <w:szCs w:val="16"/>
              </w:rPr>
              <w:t>Patient communities · Academics · HCP champions · Journalists</w:t>
            </w:r>
          </w:p>
        </w:tc>
      </w:tr>
    </w:tbl>
    <w:p>
      <w:pPr>
        <w:pStyle w:val="Normal"/>
        <w:pBdr>
          <w:top w:val="single" w:sz="2" w:space="3" w:color="DDDDDD"/>
        </w:pBdr>
        <w:spacing w:before="100" w:after="60"/>
        <w:rPr/>
      </w:pPr>
      <w:r>
        <w:rPr>
          <w:rFonts w:eastAsia="Calibri" w:cs="Calibri"/>
          <w:b/>
          <w:bCs/>
          <w:color w:val="C0392B"/>
          <w:sz w:val="17"/>
          <w:szCs w:val="17"/>
        </w:rPr>
        <w:t xml:space="preserve">POLICY WINDOWS  —  </w:t>
      </w:r>
      <w:r>
        <w:rPr>
          <w:rFonts w:eastAsia="Calibri" w:cs="Calibri"/>
          <w:color w:val="4A5568"/>
          <w:sz w:val="17"/>
          <w:szCs w:val="17"/>
        </w:rPr>
        <w:t>Advocacy is 80% timing. Prepare before the window opens, not after.</w:t>
      </w:r>
    </w:p>
    <w:tbl>
      <w:tblPr>
        <w:tblW w:w="10318" w:type="dxa"/>
        <w:jc w:val="left"/>
        <w:tblInd w:w="0" w:type="dxa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37"/>
        <w:gridCol w:w="3438"/>
        <w:gridCol w:w="3443"/>
      </w:tblGrid>
      <w:tr>
        <w:trPr/>
        <w:tc>
          <w:tcPr>
            <w:tcW w:w="3437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2F2F2" w:val="clear"/>
          </w:tcPr>
          <w:p>
            <w:pPr>
              <w:pStyle w:val="Normal"/>
              <w:spacing w:before="0" w:after="20"/>
              <w:rPr/>
            </w:pPr>
            <w:r>
              <w:rPr>
                <w:rFonts w:eastAsia="Calibri" w:cs="Calibri"/>
                <w:b/>
                <w:bCs/>
                <w:color w:val="1A1A2E"/>
                <w:sz w:val="17"/>
                <w:szCs w:val="17"/>
              </w:rPr>
              <w:t xml:space="preserve">🔥 </w:t>
            </w:r>
            <w:r>
              <w:rPr>
                <w:rFonts w:eastAsia="Calibri" w:cs="Calibri"/>
                <w:b/>
                <w:bCs/>
                <w:color w:val="1A1A2E"/>
                <w:sz w:val="17"/>
                <w:szCs w:val="17"/>
              </w:rPr>
              <w:t>New government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Calibri" w:cs="Calibri"/>
                <w:color w:val="4A5568"/>
                <w:sz w:val="15"/>
                <w:szCs w:val="15"/>
              </w:rPr>
              <w:t>First 100 days set 4 years of policy. Submit position papers during coalition formation.</w:t>
            </w:r>
          </w:p>
        </w:tc>
        <w:tc>
          <w:tcPr>
            <w:tcW w:w="3438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</w:tcPr>
          <w:p>
            <w:pPr>
              <w:pStyle w:val="Normal"/>
              <w:spacing w:before="0" w:after="20"/>
              <w:rPr/>
            </w:pPr>
            <w:r>
              <w:rPr>
                <w:rFonts w:eastAsia="Calibri" w:cs="Calibri"/>
                <w:b/>
                <w:bCs/>
                <w:color w:val="1A1A2E"/>
                <w:sz w:val="17"/>
                <w:szCs w:val="17"/>
              </w:rPr>
              <w:t xml:space="preserve">🔥 </w:t>
            </w:r>
            <w:r>
              <w:rPr>
                <w:rFonts w:eastAsia="Calibri" w:cs="Calibri"/>
                <w:b/>
                <w:bCs/>
                <w:color w:val="1A1A2E"/>
                <w:sz w:val="17"/>
                <w:szCs w:val="17"/>
              </w:rPr>
              <w:t>HTA assessment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Calibri" w:cs="Calibri"/>
                <w:color w:val="4A5568"/>
                <w:sz w:val="15"/>
                <w:szCs w:val="15"/>
              </w:rPr>
              <w:t>Submit patient evidence before the scoping phase closes. Late input carries less weight.</w:t>
            </w:r>
          </w:p>
        </w:tc>
        <w:tc>
          <w:tcPr>
            <w:tcW w:w="3443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2F2F2" w:val="clear"/>
          </w:tcPr>
          <w:p>
            <w:pPr>
              <w:pStyle w:val="Normal"/>
              <w:spacing w:before="0" w:after="20"/>
              <w:rPr/>
            </w:pPr>
            <w:r>
              <w:rPr>
                <w:rFonts w:eastAsia="Calibri" w:cs="Calibri"/>
                <w:b/>
                <w:bCs/>
                <w:color w:val="1A1A2E"/>
                <w:sz w:val="17"/>
                <w:szCs w:val="17"/>
              </w:rPr>
              <w:t xml:space="preserve">🔥 </w:t>
            </w:r>
            <w:r>
              <w:rPr>
                <w:rFonts w:eastAsia="Calibri" w:cs="Calibri"/>
                <w:b/>
                <w:bCs/>
                <w:color w:val="1A1A2E"/>
                <w:sz w:val="17"/>
                <w:szCs w:val="17"/>
              </w:rPr>
              <w:t>Budget cycle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Calibri" w:cs="Calibri"/>
                <w:color w:val="4A5568"/>
                <w:sz w:val="15"/>
                <w:szCs w:val="15"/>
              </w:rPr>
              <w:t>Coalition pressure in spring shapes the autumn budget. Plan media activity accordingly.</w:t>
            </w:r>
          </w:p>
        </w:tc>
      </w:tr>
      <w:tr>
        <w:trPr/>
        <w:tc>
          <w:tcPr>
            <w:tcW w:w="3437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</w:tcPr>
          <w:p>
            <w:pPr>
              <w:pStyle w:val="Normal"/>
              <w:spacing w:before="0" w:after="20"/>
              <w:rPr/>
            </w:pPr>
            <w:r>
              <w:rPr>
                <w:rFonts w:eastAsia="Calibri" w:cs="Calibri"/>
                <w:b/>
                <w:bCs/>
                <w:color w:val="1A1A2E"/>
                <w:sz w:val="17"/>
                <w:szCs w:val="17"/>
              </w:rPr>
              <w:t xml:space="preserve">📅 </w:t>
            </w:r>
            <w:r>
              <w:rPr>
                <w:rFonts w:eastAsia="Calibri" w:cs="Calibri"/>
                <w:b/>
                <w:bCs/>
                <w:color w:val="1A1A2E"/>
                <w:sz w:val="17"/>
                <w:szCs w:val="17"/>
              </w:rPr>
              <w:t>Guideline update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Calibri" w:cs="Calibri"/>
                <w:color w:val="4A5568"/>
                <w:sz w:val="15"/>
                <w:szCs w:val="15"/>
              </w:rPr>
              <w:t>Patient involvement is formally required — but quality of input is what determines influence.</w:t>
            </w:r>
          </w:p>
        </w:tc>
        <w:tc>
          <w:tcPr>
            <w:tcW w:w="3438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2F2F2" w:val="clear"/>
          </w:tcPr>
          <w:p>
            <w:pPr>
              <w:pStyle w:val="Normal"/>
              <w:spacing w:before="0" w:after="20"/>
              <w:rPr/>
            </w:pPr>
            <w:r>
              <w:rPr>
                <w:rFonts w:eastAsia="Calibri" w:cs="Calibri"/>
                <w:b/>
                <w:bCs/>
                <w:color w:val="1A1A2E"/>
                <w:sz w:val="17"/>
                <w:szCs w:val="17"/>
              </w:rPr>
              <w:t xml:space="preserve">📅 </w:t>
            </w:r>
            <w:r>
              <w:rPr>
                <w:rFonts w:eastAsia="Calibri" w:cs="Calibri"/>
                <w:b/>
                <w:bCs/>
                <w:color w:val="1A1A2E"/>
                <w:sz w:val="17"/>
                <w:szCs w:val="17"/>
              </w:rPr>
              <w:t>EU trilogue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Calibri" w:cs="Calibri"/>
                <w:color w:val="4A5568"/>
                <w:sz w:val="15"/>
                <w:szCs w:val="15"/>
              </w:rPr>
              <w:t>Brief rapporteurs before trilogue begins, not during. Positions harden fast.</w:t>
            </w:r>
          </w:p>
        </w:tc>
        <w:tc>
          <w:tcPr>
            <w:tcW w:w="3443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</w:tcPr>
          <w:p>
            <w:pPr>
              <w:pStyle w:val="Normal"/>
              <w:spacing w:before="0" w:after="20"/>
              <w:rPr/>
            </w:pPr>
            <w:r>
              <w:rPr>
                <w:rFonts w:eastAsia="Calibri" w:cs="Calibri"/>
                <w:b/>
                <w:bCs/>
                <w:color w:val="1A1A2E"/>
                <w:sz w:val="17"/>
                <w:szCs w:val="17"/>
              </w:rPr>
              <w:t xml:space="preserve">📅 </w:t>
            </w:r>
            <w:r>
              <w:rPr>
                <w:rFonts w:eastAsia="Calibri" w:cs="Calibri"/>
                <w:b/>
                <w:bCs/>
                <w:color w:val="1A1A2E"/>
                <w:sz w:val="17"/>
                <w:szCs w:val="17"/>
              </w:rPr>
              <w:t>Awareness calendar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Calibri" w:cs="Calibri"/>
                <w:color w:val="4A5568"/>
                <w:sz w:val="15"/>
                <w:szCs w:val="15"/>
              </w:rPr>
              <w:t>ESMO, ASCO, disease months: media are primed. Attach a specific policy ask.</w:t>
            </w:r>
          </w:p>
        </w:tc>
      </w:tr>
    </w:tbl>
    <w:p>
      <w:pPr>
        <w:pStyle w:val="Normal"/>
        <w:pBdr>
          <w:top w:val="single" w:sz="2" w:space="3" w:color="DDDDDD"/>
        </w:pBdr>
        <w:spacing w:before="100" w:after="80"/>
        <w:rPr/>
      </w:pPr>
      <w:r>
        <w:rPr>
          <w:rFonts w:eastAsia="Calibri" w:cs="Calibri"/>
          <w:b/>
          <w:bCs/>
          <w:color w:val="C0392B"/>
          <w:sz w:val="17"/>
          <w:szCs w:val="17"/>
        </w:rPr>
        <w:t xml:space="preserve">7 WORKING PRINCIPLES  —  </w:t>
      </w:r>
      <w:r>
        <w:rPr>
          <w:rFonts w:eastAsia="Calibri" w:cs="Calibri"/>
          <w:color w:val="4A5568"/>
          <w:sz w:val="16"/>
          <w:szCs w:val="16"/>
        </w:rPr>
        <w:t>Strategic patience  ·  Parallel tracks  ·  Windows first  ·  Dual channel  ·  Independence visible  ·  Frame before argument  ·  Measure policy results</w:t>
      </w:r>
    </w:p>
    <w:p>
      <w:pPr>
        <w:pStyle w:val="Normal"/>
        <w:pBdr>
          <w:top w:val="single" w:sz="2" w:space="3" w:color="DDDDDD"/>
        </w:pBdr>
        <w:spacing w:before="60" w:after="0"/>
        <w:jc w:val="center"/>
        <w:rPr/>
      </w:pPr>
      <w:r>
        <w:rPr>
          <w:rFonts w:eastAsia="Calibri" w:cs="Calibri"/>
          <w:i/>
          <w:iCs/>
          <w:color w:val="AAAAAA"/>
          <w:sz w:val="15"/>
          <w:szCs w:val="15"/>
        </w:rPr>
        <w:t xml:space="preserve">© </w:t>
      </w:r>
      <w:r>
        <w:rPr>
          <w:rFonts w:eastAsia="Calibri" w:cs="Calibri"/>
          <w:i/>
          <w:iCs/>
          <w:color w:val="AAAAAA"/>
          <w:sz w:val="15"/>
          <w:szCs w:val="15"/>
        </w:rPr>
        <w:t>Paezadvise</w:t>
      </w:r>
      <w:r>
        <w:rPr>
          <w:rFonts w:eastAsia="Calibri" w:cs="Calibri"/>
          <w:i/>
          <w:iCs/>
          <w:color w:val="AAAAAA"/>
          <w:sz w:val="15"/>
          <w:szCs w:val="15"/>
        </w:rPr>
        <w:t xml:space="preserve"> — intellectual property. Not to be shared without explicit permission of the author.</w:t>
      </w:r>
    </w:p>
    <w:sectPr>
      <w:headerReference w:type="default" r:id="rId2"/>
      <w:type w:val="nextPage"/>
      <w:pgSz w:w="11906" w:h="16838"/>
      <w:pgMar w:left="794" w:right="794" w:header="708" w:top="765" w:footer="0" w:bottom="56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Georgia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>
        <w:bottom w:val="single" w:sz="2" w:space="3" w:color="DDDDDD"/>
      </w:pBdr>
      <w:tabs>
        <w:tab w:val="clear" w:pos="720"/>
        <w:tab w:val="right" w:pos="10318" w:leader="none"/>
      </w:tabs>
      <w:spacing w:before="0" w:after="60"/>
      <w:rPr/>
    </w:pPr>
    <w:r>
      <w:rPr>
        <w:rFonts w:eastAsia="Calibri" w:cs="Calibri"/>
        <w:i/>
        <w:iCs/>
        <w:color w:val="999999"/>
        <w:sz w:val="16"/>
        <w:szCs w:val="16"/>
      </w:rPr>
      <w:t>The Lobby Pyramid  —  Patient Advocacy Model</w:t>
    </w:r>
    <w:r>
      <w:rPr>
        <w:rFonts w:eastAsia="Calibri" w:cs="Calibri"/>
        <w:i/>
        <w:iCs/>
        <w:color w:val="BBBBBB"/>
        <w:sz w:val="16"/>
        <w:szCs w:val="16"/>
      </w:rPr>
      <w:tab/>
      <w:t xml:space="preserve">© </w:t>
    </w:r>
    <w:r>
      <w:rPr>
        <w:rFonts w:eastAsia="Calibri" w:cs="Calibri"/>
        <w:i/>
        <w:iCs/>
        <w:color w:val="BBBBBB"/>
        <w:sz w:val="16"/>
        <w:szCs w:val="16"/>
      </w:rPr>
      <w:t>Paezadvise</w:t>
    </w:r>
    <w:r>
      <w:rPr>
        <w:rFonts w:eastAsia="Calibri" w:cs="Calibri"/>
        <w:i/>
        <w:iCs/>
        <w:color w:val="BBBBBB"/>
        <w:sz w:val="16"/>
        <w:szCs w:val="16"/>
      </w:rPr>
      <w:t xml:space="preserve"> — not to be shared without permission</w:t>
    </w:r>
  </w:p>
</w:hdr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lang w:val="nl-N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Calibri" w:hAnsi="Calibri" w:eastAsia="Calibri" w:cs="Calibri"/>
      <w:color w:val="auto"/>
      <w:kern w:val="0"/>
      <w:sz w:val="20"/>
      <w:szCs w:val="20"/>
      <w:lang w:val="nl-NL" w:eastAsia="zh-CN" w:bidi="hi-IN"/>
    </w:rPr>
  </w:style>
  <w:style w:type="paragraph" w:styleId="Heading1">
    <w:name w:val="Heading 1"/>
    <w:basedOn w:val="Heading"/>
    <w:qFormat/>
    <w:pPr/>
    <w:rPr>
      <w:color w:val="2E74B5"/>
      <w:sz w:val="32"/>
      <w:szCs w:val="32"/>
    </w:rPr>
  </w:style>
  <w:style w:type="paragraph" w:styleId="Heading2">
    <w:name w:val="Heading 2"/>
    <w:basedOn w:val="Heading"/>
    <w:qFormat/>
    <w:pPr/>
    <w:rPr>
      <w:color w:val="2E74B5"/>
      <w:sz w:val="26"/>
      <w:szCs w:val="26"/>
    </w:rPr>
  </w:style>
  <w:style w:type="paragraph" w:styleId="Heading3">
    <w:name w:val="Heading 3"/>
    <w:basedOn w:val="Heading"/>
    <w:qFormat/>
    <w:pPr/>
    <w:rPr>
      <w:color w:val="1F4D78"/>
      <w:sz w:val="24"/>
      <w:szCs w:val="24"/>
    </w:rPr>
  </w:style>
  <w:style w:type="paragraph" w:styleId="Heading4">
    <w:name w:val="Heading 4"/>
    <w:basedOn w:val="Heading"/>
    <w:qFormat/>
    <w:pPr/>
    <w:rPr>
      <w:i/>
      <w:iCs/>
      <w:color w:val="2E74B5"/>
    </w:rPr>
  </w:style>
  <w:style w:type="paragraph" w:styleId="Heading5">
    <w:name w:val="Heading 5"/>
    <w:basedOn w:val="Heading"/>
    <w:qFormat/>
    <w:pPr/>
    <w:rPr>
      <w:color w:val="2E74B5"/>
    </w:rPr>
  </w:style>
  <w:style w:type="paragraph" w:styleId="Heading6">
    <w:name w:val="Heading 6"/>
    <w:basedOn w:val="Heading"/>
    <w:qFormat/>
    <w:pPr/>
    <w:rPr>
      <w:color w:val="1F4D78"/>
    </w:rPr>
  </w:style>
  <w:style w:type="character" w:styleId="InternetLink">
    <w:name w:val="Internet Link"/>
    <w:uiPriority w:val="99"/>
    <w:unhideWhenUsed/>
    <w:rPr>
      <w:color w:val="0563C1"/>
      <w:u w:val="single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Anchor">
    <w:name w:val="Endnote Anchor"/>
    <w:rPr>
      <w:vertAlign w:val="superscript"/>
    </w:rPr>
  </w:style>
  <w:style w:type="character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Heading"/>
    <w:qFormat/>
    <w:pPr/>
    <w:rPr>
      <w:sz w:val="56"/>
      <w:szCs w:val="56"/>
    </w:rPr>
  </w:style>
  <w:style w:type="paragraph" w:styleId="Strong">
    <w:name w:val="Strong"/>
    <w:qFormat/>
    <w:pPr>
      <w:widowControl/>
      <w:bidi w:val="0"/>
      <w:jc w:val="left"/>
    </w:pPr>
    <w:rPr>
      <w:rFonts w:ascii="Calibri" w:hAnsi="Calibri" w:eastAsia="Calibri" w:cs="Calibri"/>
      <w:b/>
      <w:bCs/>
      <w:color w:val="auto"/>
      <w:kern w:val="0"/>
      <w:sz w:val="20"/>
      <w:szCs w:val="20"/>
      <w:lang w:val="nl-NL" w:eastAsia="zh-CN" w:bidi="hi-IN"/>
    </w:rPr>
  </w:style>
  <w:style w:type="paragraph" w:styleId="ListParagraph">
    <w:name w:val="List Paragraph"/>
    <w:qFormat/>
    <w:pPr>
      <w:widowControl/>
      <w:bidi w:val="0"/>
      <w:jc w:val="left"/>
    </w:pPr>
    <w:rPr>
      <w:rFonts w:ascii="Calibri" w:hAnsi="Calibri" w:eastAsia="Calibri" w:cs="Calibri"/>
      <w:color w:val="auto"/>
      <w:kern w:val="0"/>
      <w:sz w:val="20"/>
      <w:szCs w:val="20"/>
      <w:lang w:val="nl-NL" w:eastAsia="zh-CN" w:bidi="hi-IN"/>
    </w:rPr>
  </w:style>
  <w:style w:type="paragraph" w:styleId="Footnote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Header">
    <w:name w:val="Header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67</TotalTime>
  <Application>Neat_Office/6.2.8.2$Windows_x86 LibreOffice_project/</Application>
  <Pages>1</Pages>
  <Words>421</Words>
  <Characters>2292</Characters>
  <CharactersWithSpaces>2717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2026-05-25T17:06:02Z</dcterms:created>
  <dc:creator>Un-named</dc:creator>
  <dc:description/>
  <dc:language>nl-NL</dc:language>
  <cp:lastModifiedBy/>
  <dcterms:modified xsi:type="dcterms:W3CDTF">2026-05-26T11:16:09Z</dcterms:modified>
  <cp:revision>3</cp:revision>
  <dc:subject/>
  <dc:title/>
</cp:coreProperties>
</file>